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7B7DA362" w:rsidR="002B2CFB" w:rsidRPr="00C1356D" w:rsidRDefault="003229FC" w:rsidP="00666C2E">
                                <w:pPr>
                                  <w:spacing w:before="160"/>
                                  <w:textDirection w:val="btLr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de protección y respuesta táctica, de los Grupos de Apoyo Departamentales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7B7DA362" w:rsidR="002B2CFB" w:rsidRPr="00C1356D" w:rsidRDefault="003229FC" w:rsidP="00666C2E">
                          <w:pPr>
                            <w:spacing w:before="160"/>
                            <w:textDirection w:val="btLr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de protección y respuesta táctica, de los Grupos de Apoyo Departamentales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00B28216" w14:textId="68BD6E61" w:rsidR="00292562" w:rsidRPr="00C4468C" w:rsidRDefault="00043C91" w:rsidP="00322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 xml:space="preserve">tiene como </w:t>
      </w:r>
      <w:r w:rsidR="00666C2E">
        <w:rPr>
          <w:rFonts w:ascii="Arial" w:eastAsia="Arial" w:hAnsi="Arial" w:cs="Arial"/>
        </w:rPr>
        <w:t>objetivo</w:t>
      </w:r>
      <w:r w:rsidR="00C1356D" w:rsidRPr="00C1356D">
        <w:rPr>
          <w:rFonts w:ascii="Arial" w:eastAsia="Arial" w:hAnsi="Arial" w:cs="Arial"/>
        </w:rPr>
        <w:t xml:space="preserve"> </w:t>
      </w:r>
      <w:r w:rsidR="003229FC">
        <w:rPr>
          <w:rFonts w:ascii="Arial" w:eastAsia="Arial" w:hAnsi="Arial" w:cs="Arial"/>
          <w:color w:val="000000"/>
        </w:rPr>
        <w:t xml:space="preserve">desarrollar competencias </w:t>
      </w:r>
      <w:r w:rsidR="003229FC">
        <w:rPr>
          <w:rFonts w:ascii="Arial" w:eastAsia="Arial" w:hAnsi="Arial" w:cs="Arial"/>
          <w:color w:val="000000"/>
        </w:rPr>
        <w:t xml:space="preserve">las </w:t>
      </w:r>
      <w:r w:rsidR="003229FC">
        <w:rPr>
          <w:rFonts w:ascii="Arial" w:eastAsia="Arial" w:hAnsi="Arial" w:cs="Arial"/>
          <w:color w:val="000000"/>
        </w:rPr>
        <w:t xml:space="preserve">técnicas, intelectuales y operativas necesarias para brindar una respuesta táctica especial para la protección y escoltas especializado, manejo y esgrima de armas, técnicas y tácticas </w:t>
      </w:r>
      <w:r w:rsidR="003229FC">
        <w:rPr>
          <w:rFonts w:ascii="Arial" w:eastAsia="Arial" w:hAnsi="Arial" w:cs="Arial"/>
          <w:color w:val="000000"/>
        </w:rPr>
        <w:t>e</w:t>
      </w:r>
      <w:r w:rsidR="003229FC">
        <w:rPr>
          <w:rFonts w:ascii="Arial" w:eastAsia="Arial" w:hAnsi="Arial" w:cs="Arial"/>
          <w:color w:val="000000"/>
        </w:rPr>
        <w:t>speciales con equipos específicos modernos</w:t>
      </w:r>
      <w:r w:rsidR="003229FC">
        <w:rPr>
          <w:rFonts w:ascii="Arial" w:eastAsia="Arial" w:hAnsi="Arial" w:cs="Arial"/>
          <w:color w:val="000000"/>
        </w:rPr>
        <w:t>. A su vez, busca generar</w:t>
      </w:r>
      <w:r w:rsidR="003229FC">
        <w:rPr>
          <w:rFonts w:ascii="Arial" w:eastAsia="Arial" w:hAnsi="Arial" w:cs="Arial"/>
          <w:color w:val="000000"/>
        </w:rPr>
        <w:t xml:space="preserve"> </w:t>
      </w:r>
      <w:r w:rsidR="003229FC">
        <w:rPr>
          <w:rFonts w:ascii="Arial" w:eastAsia="Arial" w:hAnsi="Arial" w:cs="Arial"/>
          <w:color w:val="000000"/>
        </w:rPr>
        <w:t xml:space="preserve">el </w:t>
      </w:r>
      <w:r w:rsidR="003229FC">
        <w:rPr>
          <w:rFonts w:ascii="Arial" w:eastAsia="Arial" w:hAnsi="Arial" w:cs="Arial"/>
          <w:color w:val="000000"/>
        </w:rPr>
        <w:t xml:space="preserve">conocimiento de materiales y herramientas utilizadas por otras fuerzas y a nivel mundial, </w:t>
      </w:r>
      <w:r w:rsidR="003229FC">
        <w:rPr>
          <w:rFonts w:ascii="Arial" w:eastAsia="Arial" w:hAnsi="Arial" w:cs="Arial"/>
          <w:color w:val="000000"/>
        </w:rPr>
        <w:t xml:space="preserve">así como de la </w:t>
      </w:r>
      <w:r w:rsidR="003229FC">
        <w:rPr>
          <w:rFonts w:ascii="Arial" w:eastAsia="Arial" w:hAnsi="Arial" w:cs="Arial"/>
          <w:color w:val="000000"/>
        </w:rPr>
        <w:t xml:space="preserve">normas de seguridad </w:t>
      </w:r>
      <w:r w:rsidR="003229FC">
        <w:rPr>
          <w:rFonts w:ascii="Arial" w:eastAsia="Arial" w:hAnsi="Arial" w:cs="Arial"/>
          <w:color w:val="000000"/>
        </w:rPr>
        <w:t xml:space="preserve">para aumentar </w:t>
      </w:r>
      <w:r w:rsidR="003229FC">
        <w:rPr>
          <w:rFonts w:ascii="Arial" w:eastAsia="Arial" w:hAnsi="Arial" w:cs="Arial"/>
          <w:color w:val="000000"/>
        </w:rPr>
        <w:t>la capacidad del operador en situaciones de estrés y lograr un desempeño eficaz en el escenario de actuación propio de la Seguridad Pública.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8588CC6" w14:textId="5D32FC4B" w:rsidR="003229FC" w:rsidRDefault="003229FC" w:rsidP="003229FC">
      <w:pPr>
        <w:widowControl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policial de la Dirección G.A.D</w:t>
      </w:r>
      <w:r>
        <w:rPr>
          <w:rFonts w:ascii="Arial" w:eastAsia="Arial" w:hAnsi="Arial" w:cs="Arial"/>
        </w:rPr>
        <w:t>. que c</w:t>
      </w:r>
      <w:r>
        <w:rPr>
          <w:rFonts w:ascii="Arial" w:eastAsia="Arial" w:hAnsi="Arial" w:cs="Arial"/>
        </w:rPr>
        <w:t>uente con el Curso Básico G.A.D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aprobado con una antigüedad de cinco (5) años en la función 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>fectivos de las distintas Direcciones pertenecientes a la Superintendencia 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que quieran obtener la especialidad con un mínimo de (5) años de antigüedad.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>fectivos de otras fuerzas que pertenezcan a grupos o cuerpos especiales,</w:t>
      </w:r>
      <w:r>
        <w:rPr>
          <w:rFonts w:ascii="Arial" w:eastAsia="Arial" w:hAnsi="Arial" w:cs="Arial"/>
        </w:rPr>
        <w:t xml:space="preserve"> previa solicitud y aprobación de</w:t>
      </w:r>
      <w:r>
        <w:rPr>
          <w:rFonts w:ascii="Arial" w:eastAsia="Arial" w:hAnsi="Arial" w:cs="Arial"/>
        </w:rPr>
        <w:t xml:space="preserve"> vacante.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151A0DA1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292562">
        <w:rPr>
          <w:rFonts w:ascii="Arial" w:hAnsi="Arial" w:cs="Arial"/>
        </w:rPr>
        <w:t>132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2B650F54" w:rsidR="009B6A68" w:rsidRDefault="00CB67EC" w:rsidP="00C1356D">
      <w:pPr>
        <w:spacing w:line="360" w:lineRule="auto"/>
        <w:ind w:right="-1" w:hanging="2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3229FC">
        <w:rPr>
          <w:rFonts w:ascii="Arial" w:eastAsia="Arial" w:hAnsi="Arial" w:cs="Arial"/>
        </w:rPr>
        <w:t>12/05/2025 al 23/05/2025</w:t>
      </w:r>
      <w:r w:rsidR="003229FC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621953BA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3229FC">
        <w:rPr>
          <w:rFonts w:ascii="Arial" w:hAnsi="Arial" w:cs="Arial"/>
        </w:rPr>
        <w:t>3</w:t>
      </w:r>
      <w:r w:rsidR="00666C2E">
        <w:rPr>
          <w:rFonts w:ascii="Arial" w:hAnsi="Arial" w:cs="Arial"/>
        </w:rPr>
        <w:t xml:space="preserve">5 y </w:t>
      </w:r>
      <w:r w:rsidR="003229FC">
        <w:rPr>
          <w:rFonts w:ascii="Arial" w:hAnsi="Arial" w:cs="Arial"/>
        </w:rPr>
        <w:t>4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3229F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D2163"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4D79190C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3229FC">
        <w:rPr>
          <w:rFonts w:ascii="Arial" w:eastAsia="Arial" w:hAnsi="Arial" w:cs="Arial"/>
          <w:color w:val="000000"/>
        </w:rPr>
        <w:t>(011) 15-6514-2824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292562"/>
    <w:rsid w:val="002B2CFB"/>
    <w:rsid w:val="002C2983"/>
    <w:rsid w:val="002F4404"/>
    <w:rsid w:val="003229FC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2260"/>
    <w:rsid w:val="00B171AD"/>
    <w:rsid w:val="00C1356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.capacitacion.gad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63281A-9303-434A-BDEA-2C51283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2025-05-07T11:49:00Z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